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SPDS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自助缴费机系统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SPDS自助缴费机系统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5"/>
        <w:tblpPr w:leftFromText="180" w:rightFromText="180" w:vertAnchor="text" w:horzAnchor="page" w:tblpX="1780" w:tblpY="416"/>
        <w:tblOverlap w:val="never"/>
        <w:tblW w:w="8974"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254"/>
        <w:gridCol w:w="1238"/>
        <w:gridCol w:w="1646"/>
        <w:gridCol w:w="860"/>
        <w:gridCol w:w="1724"/>
        <w:gridCol w:w="225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226" w:hRule="atLeast"/>
        </w:trPr>
        <w:tc>
          <w:tcPr>
            <w:tcW w:w="1254" w:type="dxa"/>
            <w:tcBorders>
              <w:top w:val="single" w:color="auto" w:sz="12" w:space="0"/>
              <w:bottom w:val="single" w:color="auto" w:sz="4" w:space="0"/>
            </w:tcBorders>
            <w:shd w:val="clear" w:color="auto" w:fill="CCCCCC"/>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版本号</w:t>
            </w:r>
          </w:p>
        </w:tc>
        <w:tc>
          <w:tcPr>
            <w:tcW w:w="1238" w:type="dxa"/>
            <w:tcBorders>
              <w:top w:val="single" w:color="auto" w:sz="12" w:space="0"/>
              <w:bottom w:val="single" w:color="auto" w:sz="4" w:space="0"/>
            </w:tcBorders>
            <w:shd w:val="clear" w:color="auto" w:fill="CCCCCC"/>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拟制人/</w:t>
            </w:r>
          </w:p>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修改人</w:t>
            </w:r>
          </w:p>
        </w:tc>
        <w:tc>
          <w:tcPr>
            <w:tcW w:w="1646" w:type="dxa"/>
            <w:tcBorders>
              <w:top w:val="single" w:color="auto" w:sz="12" w:space="0"/>
              <w:bottom w:val="single" w:color="auto" w:sz="4" w:space="0"/>
            </w:tcBorders>
            <w:shd w:val="clear" w:color="auto" w:fill="CCCCCC"/>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拟制/</w:t>
            </w:r>
          </w:p>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修改日期</w:t>
            </w:r>
          </w:p>
        </w:tc>
        <w:tc>
          <w:tcPr>
            <w:tcW w:w="860" w:type="dxa"/>
            <w:tcBorders>
              <w:top w:val="single" w:color="auto" w:sz="12" w:space="0"/>
              <w:bottom w:val="single" w:color="auto" w:sz="4" w:space="0"/>
            </w:tcBorders>
            <w:shd w:val="clear" w:color="auto" w:fill="CCCCCC"/>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审核</w:t>
            </w:r>
          </w:p>
        </w:tc>
        <w:tc>
          <w:tcPr>
            <w:tcW w:w="1724" w:type="dxa"/>
            <w:tcBorders>
              <w:top w:val="single" w:color="auto" w:sz="12" w:space="0"/>
              <w:bottom w:val="single" w:color="auto" w:sz="4" w:space="0"/>
            </w:tcBorders>
            <w:shd w:val="clear" w:color="auto" w:fill="CCCCCC"/>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更改理由</w:t>
            </w:r>
          </w:p>
        </w:tc>
        <w:tc>
          <w:tcPr>
            <w:tcW w:w="2252" w:type="dxa"/>
            <w:tcBorders>
              <w:top w:val="single" w:color="auto" w:sz="12" w:space="0"/>
              <w:bottom w:val="single" w:color="auto" w:sz="4" w:space="0"/>
            </w:tcBorders>
            <w:shd w:val="clear" w:color="auto" w:fill="CCCCCC"/>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主要更改内容</w:t>
            </w:r>
          </w:p>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67" w:hRule="atLeast"/>
        </w:trPr>
        <w:tc>
          <w:tcPr>
            <w:tcW w:w="1254" w:type="dxa"/>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V1.0</w:t>
            </w:r>
          </w:p>
        </w:tc>
        <w:tc>
          <w:tcPr>
            <w:tcW w:w="1238" w:type="dxa"/>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杨丰泽</w:t>
            </w:r>
          </w:p>
        </w:tc>
        <w:tc>
          <w:tcPr>
            <w:tcW w:w="1646" w:type="dxa"/>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2017-7-20</w:t>
            </w:r>
          </w:p>
        </w:tc>
        <w:tc>
          <w:tcPr>
            <w:tcW w:w="860" w:type="dxa"/>
            <w:vAlign w:val="center"/>
          </w:tcPr>
          <w:p>
            <w:pPr>
              <w:pStyle w:val="5"/>
              <w:ind w:left="0" w:leftChars="0" w:firstLine="0" w:firstLineChars="0"/>
              <w:jc w:val="center"/>
              <w:rPr>
                <w:rFonts w:hint="eastAsia" w:ascii="黑体" w:hAnsi="黑体" w:eastAsia="黑体" w:cs="黑体"/>
                <w:color w:val="000000"/>
                <w:sz w:val="21"/>
                <w:szCs w:val="21"/>
                <w:lang w:val="en-US" w:eastAsia="zh-CN"/>
              </w:rPr>
            </w:pPr>
          </w:p>
        </w:tc>
        <w:tc>
          <w:tcPr>
            <w:tcW w:w="1724" w:type="dxa"/>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无</w:t>
            </w:r>
          </w:p>
        </w:tc>
        <w:tc>
          <w:tcPr>
            <w:tcW w:w="2252" w:type="dxa"/>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064" w:hRule="atLeast"/>
        </w:trPr>
        <w:tc>
          <w:tcPr>
            <w:tcW w:w="1254" w:type="dxa"/>
            <w:vAlign w:val="center"/>
          </w:tcPr>
          <w:p>
            <w:pPr>
              <w:pStyle w:val="5"/>
              <w:ind w:left="0" w:leftChars="0" w:firstLine="0" w:firstLineChars="0"/>
              <w:jc w:val="center"/>
              <w:rPr>
                <w:rFonts w:hint="eastAsia" w:ascii="黑体" w:hAnsi="黑体" w:eastAsia="黑体" w:cs="黑体"/>
                <w:color w:val="000000"/>
                <w:sz w:val="18"/>
                <w:szCs w:val="18"/>
                <w:lang w:val="en-US" w:eastAsia="zh-CN"/>
              </w:rPr>
            </w:pPr>
            <w:r>
              <w:rPr>
                <w:rFonts w:hint="eastAsia" w:ascii="黑体" w:hAnsi="黑体" w:eastAsia="黑体" w:cs="黑体"/>
                <w:color w:val="000000"/>
                <w:sz w:val="21"/>
                <w:szCs w:val="21"/>
                <w:lang w:val="en-US" w:eastAsia="zh-CN"/>
              </w:rPr>
              <w:t>V1.1</w:t>
            </w:r>
          </w:p>
        </w:tc>
        <w:tc>
          <w:tcPr>
            <w:tcW w:w="1238" w:type="dxa"/>
            <w:vAlign w:val="center"/>
          </w:tcPr>
          <w:p>
            <w:pPr>
              <w:pStyle w:val="5"/>
              <w:ind w:left="0" w:leftChars="0" w:firstLine="0" w:firstLineChars="0"/>
              <w:jc w:val="center"/>
              <w:rPr>
                <w:rFonts w:hint="eastAsia" w:ascii="黑体" w:hAnsi="黑体" w:eastAsia="黑体" w:cs="黑体"/>
                <w:color w:val="000000"/>
                <w:sz w:val="18"/>
                <w:szCs w:val="18"/>
                <w:lang w:val="en-US" w:eastAsia="zh-CN"/>
              </w:rPr>
            </w:pPr>
            <w:r>
              <w:rPr>
                <w:rFonts w:hint="eastAsia" w:ascii="黑体" w:hAnsi="黑体" w:eastAsia="黑体" w:cs="黑体"/>
                <w:color w:val="000000"/>
                <w:sz w:val="21"/>
                <w:szCs w:val="21"/>
                <w:lang w:val="en-US" w:eastAsia="zh-CN"/>
              </w:rPr>
              <w:t>陈钰贤</w:t>
            </w:r>
          </w:p>
        </w:tc>
        <w:tc>
          <w:tcPr>
            <w:tcW w:w="1646" w:type="dxa"/>
            <w:vAlign w:val="center"/>
          </w:tcPr>
          <w:p>
            <w:pPr>
              <w:pStyle w:val="5"/>
              <w:ind w:left="0" w:leftChars="0" w:firstLine="0" w:firstLineChars="0"/>
              <w:jc w:val="center"/>
              <w:rPr>
                <w:rFonts w:hint="eastAsia" w:ascii="黑体" w:hAnsi="黑体" w:eastAsia="黑体" w:cs="黑体"/>
                <w:color w:val="000000"/>
                <w:sz w:val="18"/>
                <w:szCs w:val="18"/>
                <w:lang w:val="en-US" w:eastAsia="zh-CN"/>
              </w:rPr>
            </w:pPr>
            <w:r>
              <w:rPr>
                <w:rFonts w:hint="eastAsia" w:ascii="黑体" w:hAnsi="黑体" w:eastAsia="黑体" w:cs="黑体"/>
                <w:color w:val="000000"/>
                <w:sz w:val="21"/>
                <w:szCs w:val="21"/>
                <w:lang w:val="en-US" w:eastAsia="zh-CN"/>
              </w:rPr>
              <w:t>2017-08-24</w:t>
            </w:r>
          </w:p>
        </w:tc>
        <w:tc>
          <w:tcPr>
            <w:tcW w:w="860" w:type="dxa"/>
            <w:vAlign w:val="center"/>
          </w:tcPr>
          <w:p>
            <w:pPr>
              <w:pStyle w:val="5"/>
              <w:ind w:left="0" w:leftChars="0" w:firstLine="0" w:firstLineChars="0"/>
              <w:jc w:val="center"/>
              <w:rPr>
                <w:rFonts w:hint="eastAsia" w:ascii="黑体" w:hAnsi="黑体" w:eastAsia="黑体" w:cs="黑体"/>
                <w:color w:val="000000"/>
                <w:sz w:val="18"/>
                <w:szCs w:val="18"/>
                <w:lang w:val="en-US" w:eastAsia="zh-CN"/>
              </w:rPr>
            </w:pPr>
          </w:p>
        </w:tc>
        <w:tc>
          <w:tcPr>
            <w:tcW w:w="1724" w:type="dxa"/>
            <w:vAlign w:val="center"/>
          </w:tcPr>
          <w:p>
            <w:pPr>
              <w:pStyle w:val="5"/>
              <w:ind w:left="0" w:leftChars="0" w:firstLine="0" w:firstLineChars="0"/>
              <w:jc w:val="center"/>
              <w:rPr>
                <w:rFonts w:hint="eastAsia" w:ascii="黑体" w:hAnsi="黑体" w:eastAsia="黑体" w:cs="黑体"/>
                <w:color w:val="000000"/>
                <w:sz w:val="18"/>
                <w:szCs w:val="18"/>
                <w:lang w:val="en-US" w:eastAsia="zh-CN"/>
              </w:rPr>
            </w:pPr>
            <w:r>
              <w:rPr>
                <w:rFonts w:hint="eastAsia" w:ascii="黑体" w:hAnsi="黑体" w:eastAsia="黑体" w:cs="黑体"/>
                <w:color w:val="000000"/>
                <w:sz w:val="21"/>
                <w:szCs w:val="21"/>
                <w:lang w:val="en-US" w:eastAsia="zh-CN"/>
              </w:rPr>
              <w:t xml:space="preserve">修改为中性版 </w:t>
            </w:r>
          </w:p>
        </w:tc>
        <w:tc>
          <w:tcPr>
            <w:tcW w:w="2252" w:type="dxa"/>
            <w:vAlign w:val="center"/>
          </w:tcPr>
          <w:p>
            <w:pPr>
              <w:pStyle w:val="5"/>
              <w:ind w:left="0" w:leftChars="0" w:firstLine="0" w:firstLineChars="0"/>
              <w:jc w:val="center"/>
              <w:rPr>
                <w:rFonts w:hint="eastAsia" w:ascii="黑体" w:hAnsi="黑体" w:eastAsia="黑体" w:cs="黑体"/>
                <w:color w:val="000000"/>
                <w:sz w:val="18"/>
                <w:szCs w:val="18"/>
                <w:lang w:val="en-US" w:eastAsia="zh-CN"/>
              </w:rPr>
            </w:pPr>
            <w:r>
              <w:rPr>
                <w:rFonts w:hint="eastAsia" w:ascii="黑体" w:hAnsi="黑体" w:eastAsia="黑体" w:cs="黑体"/>
                <w:color w:val="000000"/>
                <w:sz w:val="21"/>
                <w:szCs w:val="21"/>
                <w:lang w:val="en-US" w:eastAsia="zh-CN"/>
              </w:rPr>
              <w:t>更改所有含“艾科”“AKE”的内容及图片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trPr>
        <w:tc>
          <w:tcPr>
            <w:tcW w:w="1254" w:type="dxa"/>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V1.2</w:t>
            </w:r>
          </w:p>
        </w:tc>
        <w:tc>
          <w:tcPr>
            <w:tcW w:w="1238" w:type="dxa"/>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陈钰贤</w:t>
            </w:r>
          </w:p>
        </w:tc>
        <w:tc>
          <w:tcPr>
            <w:tcW w:w="1646" w:type="dxa"/>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2018-04-12</w:t>
            </w:r>
          </w:p>
        </w:tc>
        <w:tc>
          <w:tcPr>
            <w:tcW w:w="860" w:type="dxa"/>
            <w:vAlign w:val="center"/>
          </w:tcPr>
          <w:p>
            <w:pPr>
              <w:pStyle w:val="5"/>
              <w:ind w:left="0" w:leftChars="0" w:firstLine="0" w:firstLineChars="0"/>
              <w:jc w:val="center"/>
              <w:rPr>
                <w:rFonts w:hint="eastAsia" w:ascii="黑体" w:hAnsi="黑体" w:eastAsia="黑体" w:cs="黑体"/>
                <w:color w:val="000000"/>
                <w:sz w:val="21"/>
                <w:szCs w:val="21"/>
                <w:lang w:val="en-US" w:eastAsia="zh-CN"/>
              </w:rPr>
            </w:pPr>
          </w:p>
        </w:tc>
        <w:tc>
          <w:tcPr>
            <w:tcW w:w="1724" w:type="dxa"/>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版本迭代</w:t>
            </w:r>
          </w:p>
        </w:tc>
        <w:tc>
          <w:tcPr>
            <w:tcW w:w="2252" w:type="dxa"/>
            <w:vAlign w:val="center"/>
          </w:tcPr>
          <w:p>
            <w:pPr>
              <w:pStyle w:val="5"/>
              <w:numPr>
                <w:ilvl w:val="0"/>
                <w:numId w:val="0"/>
              </w:numPr>
              <w:rPr>
                <w:rFonts w:hint="eastAsia" w:ascii="黑体" w:hAnsi="黑体" w:eastAsia="黑体" w:cs="黑体"/>
                <w:color w:val="000000"/>
                <w:sz w:val="18"/>
                <w:szCs w:val="18"/>
                <w:lang w:val="en-US" w:eastAsia="zh-CN"/>
              </w:rPr>
            </w:pPr>
            <w:r>
              <w:rPr>
                <w:rFonts w:hint="eastAsia" w:ascii="黑体" w:hAnsi="黑体" w:eastAsia="黑体" w:cs="黑体"/>
                <w:color w:val="000000"/>
                <w:sz w:val="21"/>
                <w:szCs w:val="21"/>
                <w:lang w:val="en-US" w:eastAsia="zh-CN"/>
              </w:rPr>
              <w:t>增加车主操作前端操作手册内容。</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trPr>
        <w:tc>
          <w:tcPr>
            <w:tcW w:w="8974" w:type="dxa"/>
            <w:gridSpan w:val="6"/>
            <w:tcBorders>
              <w:left w:val="single" w:color="auto" w:sz="4" w:space="0"/>
              <w:bottom w:val="single" w:color="auto" w:sz="4" w:space="0"/>
              <w:right w:val="single" w:color="auto" w:sz="4" w:space="0"/>
            </w:tcBorders>
            <w:vAlign w:val="top"/>
          </w:tcPr>
          <w:p>
            <w:pPr>
              <w:pStyle w:val="5"/>
              <w:ind w:left="0" w:leftChars="0" w:firstLine="0" w:firstLineChars="0"/>
              <w:rPr>
                <w:rFonts w:ascii="Arial" w:hAnsi="Arial" w:cs="Arial"/>
                <w:color w:val="000000"/>
                <w:sz w:val="21"/>
                <w:szCs w:val="21"/>
              </w:rPr>
            </w:pPr>
          </w:p>
          <w:p>
            <w:pPr>
              <w:pStyle w:val="5"/>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5"/>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5"/>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firstLine="0" w:firstLineChars="0"/>
        <w:jc w:val="center"/>
        <w:rPr>
          <w:rFonts w:hint="eastAsia"/>
          <w:b/>
          <w:bCs/>
          <w:iCs/>
          <w:sz w:val="52"/>
          <w:szCs w:val="52"/>
          <w:lang w:eastAsia="zh-CN"/>
        </w:rPr>
      </w:pPr>
    </w:p>
    <w:p>
      <w:pPr>
        <w:ind w:firstLine="0" w:firstLineChars="0"/>
        <w:jc w:val="center"/>
        <w:rPr>
          <w:rFonts w:hint="eastAsia"/>
          <w:b/>
          <w:bCs/>
          <w:iCs/>
          <w:sz w:val="52"/>
          <w:szCs w:val="52"/>
          <w:lang w:eastAsia="zh-CN"/>
        </w:rPr>
      </w:pPr>
    </w:p>
    <w:p>
      <w:pPr>
        <w:ind w:firstLine="0" w:firstLineChars="0"/>
        <w:jc w:val="center"/>
        <w:rPr>
          <w:rFonts w:hint="eastAsia"/>
          <w:b/>
          <w:bCs/>
          <w:iCs/>
          <w:sz w:val="52"/>
          <w:szCs w:val="52"/>
          <w:lang w:eastAsia="zh-CN"/>
        </w:rPr>
      </w:pPr>
    </w:p>
    <w:p>
      <w:pPr>
        <w:ind w:firstLine="0" w:firstLineChars="0"/>
        <w:jc w:val="center"/>
        <w:rPr>
          <w:rFonts w:hint="eastAsia"/>
          <w:b/>
          <w:bCs/>
          <w:iCs/>
          <w:sz w:val="52"/>
          <w:szCs w:val="52"/>
          <w:lang w:eastAsia="zh-CN"/>
        </w:rPr>
      </w:pPr>
    </w:p>
    <w:p>
      <w:pPr>
        <w:ind w:firstLine="0" w:firstLineChars="0"/>
        <w:jc w:val="center"/>
        <w:rPr>
          <w:rFonts w:hint="eastAsia"/>
          <w:b/>
          <w:bCs/>
          <w:iCs/>
          <w:sz w:val="52"/>
          <w:szCs w:val="52"/>
          <w:lang w:eastAsia="zh-CN"/>
        </w:rPr>
      </w:pPr>
    </w:p>
    <w:p>
      <w:pPr>
        <w:ind w:firstLine="0" w:firstLineChars="0"/>
        <w:jc w:val="center"/>
        <w:rPr>
          <w:rFonts w:hint="eastAsia"/>
          <w:b/>
          <w:bCs/>
          <w:iCs/>
          <w:sz w:val="52"/>
          <w:szCs w:val="52"/>
          <w:lang w:eastAsia="zh-CN"/>
        </w:rPr>
      </w:pPr>
    </w:p>
    <w:p>
      <w:pPr>
        <w:ind w:firstLine="0" w:firstLineChars="0"/>
        <w:jc w:val="center"/>
        <w:rPr>
          <w:rFonts w:hint="eastAsia"/>
          <w:b/>
          <w:bCs/>
          <w:iCs/>
          <w:sz w:val="52"/>
          <w:szCs w:val="52"/>
          <w:lang w:eastAsia="zh-CN"/>
        </w:rPr>
      </w:pPr>
    </w:p>
    <w:p>
      <w:pPr>
        <w:ind w:firstLine="0" w:firstLineChars="0"/>
        <w:jc w:val="center"/>
        <w:rPr>
          <w:rFonts w:hint="eastAsia"/>
          <w:b/>
          <w:bCs/>
          <w:iCs/>
          <w:sz w:val="36"/>
          <w:szCs w:val="36"/>
          <w:lang w:eastAsia="zh-CN"/>
        </w:rPr>
      </w:pPr>
      <w:r>
        <w:rPr>
          <w:rFonts w:hint="eastAsia"/>
          <w:b/>
          <w:bCs/>
          <w:iCs/>
          <w:sz w:val="36"/>
          <w:szCs w:val="36"/>
          <w:lang w:eastAsia="zh-CN"/>
        </w:rPr>
        <w:t>目录</w:t>
      </w:r>
    </w:p>
    <w:p>
      <w:pPr>
        <w:pStyle w:val="9"/>
        <w:tabs>
          <w:tab w:val="right" w:leader="dot" w:pos="9746"/>
        </w:tabs>
      </w:pPr>
      <w:r>
        <w:fldChar w:fldCharType="begin"/>
      </w:r>
      <w:r>
        <w:instrText xml:space="preserve">TOC \o "1-3" \h \u </w:instrText>
      </w:r>
      <w:r>
        <w:fldChar w:fldCharType="separate"/>
      </w:r>
      <w:r>
        <w:fldChar w:fldCharType="begin"/>
      </w:r>
      <w:r>
        <w:instrText xml:space="preserve"> HYPERLINK \l _Toc26209 </w:instrText>
      </w:r>
      <w:r>
        <w:fldChar w:fldCharType="separate"/>
      </w:r>
      <w:r>
        <w:rPr>
          <w:rFonts w:hint="eastAsia" w:ascii="微软雅黑" w:hAnsi="微软雅黑" w:eastAsia="微软雅黑" w:cs="微软雅黑"/>
          <w:bCs/>
          <w:szCs w:val="36"/>
          <w:lang w:val="en-US" w:eastAsia="zh-CN"/>
        </w:rPr>
        <w:t>车主操作前端</w:t>
      </w:r>
      <w:r>
        <w:tab/>
      </w:r>
      <w:r>
        <w:fldChar w:fldCharType="begin"/>
      </w:r>
      <w:r>
        <w:instrText xml:space="preserve"> PAGEREF _Toc26209 </w:instrText>
      </w:r>
      <w:r>
        <w:fldChar w:fldCharType="separate"/>
      </w:r>
      <w:r>
        <w:t>4</w:t>
      </w:r>
      <w:r>
        <w:fldChar w:fldCharType="end"/>
      </w:r>
      <w:r>
        <w:fldChar w:fldCharType="end"/>
      </w:r>
    </w:p>
    <w:p>
      <w:pPr>
        <w:pStyle w:val="12"/>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_Toc15252 </w:instrText>
      </w:r>
      <w:r>
        <w:rPr>
          <w:rFonts w:ascii="宋体" w:hAnsiTheme="minorHAnsi" w:eastAsiaTheme="minorEastAsia" w:cstheme="minorBidi"/>
          <w:kern w:val="2"/>
          <w:szCs w:val="24"/>
          <w:lang w:val="en-US" w:eastAsia="zh-CN" w:bidi="ar-SA"/>
        </w:rPr>
        <w:fldChar w:fldCharType="separate"/>
      </w:r>
      <w:r>
        <w:rPr>
          <w:rFonts w:hint="eastAsia" w:ascii="微软雅黑" w:hAnsi="微软雅黑" w:eastAsia="微软雅黑" w:cs="微软雅黑"/>
          <w:bCs/>
          <w:lang w:val="en-US" w:eastAsia="zh-CN"/>
        </w:rPr>
        <w:t>一、 缴费</w:t>
      </w:r>
      <w:r>
        <w:tab/>
      </w:r>
      <w:r>
        <w:fldChar w:fldCharType="begin"/>
      </w:r>
      <w:r>
        <w:instrText xml:space="preserve"> PAGEREF _Toc15252 </w:instrText>
      </w:r>
      <w:r>
        <w:fldChar w:fldCharType="separate"/>
      </w:r>
      <w:r>
        <w:t>4</w:t>
      </w:r>
      <w:r>
        <w:fldChar w:fldCharType="end"/>
      </w:r>
      <w:r>
        <w:rPr>
          <w:rFonts w:ascii="宋体" w:hAnsiTheme="minorHAnsi" w:eastAsiaTheme="minorEastAsia" w:cstheme="minorBidi"/>
          <w:kern w:val="2"/>
          <w:szCs w:val="24"/>
          <w:lang w:val="en-US" w:eastAsia="zh-CN" w:bidi="ar-SA"/>
        </w:rPr>
        <w:fldChar w:fldCharType="end"/>
      </w:r>
    </w:p>
    <w:p>
      <w:pPr>
        <w:pStyle w:val="12"/>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_Toc10643 </w:instrText>
      </w:r>
      <w:r>
        <w:rPr>
          <w:rFonts w:ascii="宋体" w:hAnsiTheme="minorHAnsi" w:eastAsiaTheme="minorEastAsia" w:cstheme="minorBidi"/>
          <w:kern w:val="2"/>
          <w:szCs w:val="24"/>
          <w:lang w:val="en-US" w:eastAsia="zh-CN" w:bidi="ar-SA"/>
        </w:rPr>
        <w:fldChar w:fldCharType="separate"/>
      </w:r>
      <w:r>
        <w:rPr>
          <w:rFonts w:hint="eastAsia" w:ascii="微软雅黑" w:hAnsi="微软雅黑" w:eastAsia="微软雅黑" w:cs="微软雅黑"/>
          <w:bCs/>
          <w:lang w:val="en-US" w:eastAsia="zh-CN"/>
        </w:rPr>
        <w:t>二、 寻车</w:t>
      </w:r>
      <w:r>
        <w:tab/>
      </w:r>
      <w:r>
        <w:fldChar w:fldCharType="begin"/>
      </w:r>
      <w:r>
        <w:instrText xml:space="preserve"> PAGEREF _Toc10643 </w:instrText>
      </w:r>
      <w:r>
        <w:fldChar w:fldCharType="separate"/>
      </w:r>
      <w:r>
        <w:t>10</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_Toc6978 </w:instrText>
      </w:r>
      <w:r>
        <w:rPr>
          <w:rFonts w:ascii="宋体" w:hAnsiTheme="minorHAnsi" w:eastAsiaTheme="minorEastAsia" w:cstheme="minorBidi"/>
          <w:kern w:val="2"/>
          <w:szCs w:val="24"/>
          <w:lang w:val="en-US" w:eastAsia="zh-CN" w:bidi="ar-SA"/>
        </w:rPr>
        <w:fldChar w:fldCharType="separate"/>
      </w:r>
      <w:r>
        <w:rPr>
          <w:rFonts w:hint="eastAsia" w:ascii="微软雅黑" w:hAnsi="微软雅黑" w:eastAsia="微软雅黑" w:cs="微软雅黑"/>
          <w:bCs/>
          <w:szCs w:val="36"/>
          <w:lang w:val="en-US" w:eastAsia="zh-CN"/>
        </w:rPr>
        <w:t>缴费机后台</w:t>
      </w:r>
      <w:r>
        <w:tab/>
      </w:r>
      <w:r>
        <w:fldChar w:fldCharType="begin"/>
      </w:r>
      <w:r>
        <w:instrText xml:space="preserve"> PAGEREF _Toc6978 </w:instrText>
      </w:r>
      <w:r>
        <w:fldChar w:fldCharType="separate"/>
      </w:r>
      <w:r>
        <w:t>11</w:t>
      </w:r>
      <w:r>
        <w:fldChar w:fldCharType="end"/>
      </w:r>
      <w:r>
        <w:rPr>
          <w:rFonts w:ascii="宋体" w:hAnsiTheme="minorHAnsi" w:eastAsiaTheme="minorEastAsia" w:cstheme="minorBidi"/>
          <w:kern w:val="2"/>
          <w:szCs w:val="24"/>
          <w:lang w:val="en-US" w:eastAsia="zh-CN" w:bidi="ar-SA"/>
        </w:rPr>
        <w:fldChar w:fldCharType="end"/>
      </w:r>
    </w:p>
    <w:p>
      <w:pPr>
        <w:pStyle w:val="12"/>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_Toc17886 </w:instrText>
      </w:r>
      <w:r>
        <w:rPr>
          <w:rFonts w:ascii="宋体" w:hAnsiTheme="minorHAnsi" w:eastAsiaTheme="minorEastAsia" w:cstheme="minorBidi"/>
          <w:kern w:val="2"/>
          <w:szCs w:val="24"/>
          <w:lang w:val="en-US" w:eastAsia="zh-CN" w:bidi="ar-SA"/>
        </w:rPr>
        <w:fldChar w:fldCharType="separate"/>
      </w:r>
      <w:r>
        <w:rPr>
          <w:rFonts w:hint="eastAsia" w:ascii="微软雅黑" w:hAnsi="微软雅黑" w:eastAsia="微软雅黑" w:cs="微软雅黑"/>
          <w:bCs/>
          <w:lang w:val="en-US" w:eastAsia="zh-CN"/>
        </w:rPr>
        <w:t>一、基本信息</w:t>
      </w:r>
      <w:r>
        <w:tab/>
      </w:r>
      <w:r>
        <w:fldChar w:fldCharType="begin"/>
      </w:r>
      <w:r>
        <w:instrText xml:space="preserve"> PAGEREF _Toc17886 </w:instrText>
      </w:r>
      <w:r>
        <w:fldChar w:fldCharType="separate"/>
      </w:r>
      <w:r>
        <w:t>12</w:t>
      </w:r>
      <w:r>
        <w:fldChar w:fldCharType="end"/>
      </w:r>
      <w:r>
        <w:rPr>
          <w:rFonts w:ascii="宋体" w:hAnsiTheme="minorHAnsi" w:eastAsiaTheme="minorEastAsia" w:cstheme="minorBidi"/>
          <w:kern w:val="2"/>
          <w:szCs w:val="24"/>
          <w:lang w:val="en-US" w:eastAsia="zh-CN" w:bidi="ar-SA"/>
        </w:rPr>
        <w:fldChar w:fldCharType="end"/>
      </w:r>
    </w:p>
    <w:p>
      <w:pPr>
        <w:pStyle w:val="12"/>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_Toc28414 </w:instrText>
      </w:r>
      <w:r>
        <w:rPr>
          <w:rFonts w:ascii="宋体" w:hAnsiTheme="minorHAnsi" w:eastAsiaTheme="minorEastAsia" w:cstheme="minorBidi"/>
          <w:kern w:val="2"/>
          <w:szCs w:val="24"/>
          <w:lang w:val="en-US" w:eastAsia="zh-CN" w:bidi="ar-SA"/>
        </w:rPr>
        <w:fldChar w:fldCharType="separate"/>
      </w:r>
      <w:r>
        <w:rPr>
          <w:rFonts w:hint="eastAsia" w:ascii="微软雅黑" w:hAnsi="微软雅黑" w:eastAsia="微软雅黑" w:cs="微软雅黑"/>
          <w:bCs/>
          <w:lang w:val="en-US" w:eastAsia="zh-CN"/>
        </w:rPr>
        <w:t>二、账户管理</w:t>
      </w:r>
      <w:r>
        <w:tab/>
      </w:r>
      <w:r>
        <w:fldChar w:fldCharType="begin"/>
      </w:r>
      <w:r>
        <w:instrText xml:space="preserve"> PAGEREF _Toc28414 </w:instrText>
      </w:r>
      <w:r>
        <w:fldChar w:fldCharType="separate"/>
      </w:r>
      <w:r>
        <w:t>13</w:t>
      </w:r>
      <w:r>
        <w:fldChar w:fldCharType="end"/>
      </w:r>
      <w:r>
        <w:rPr>
          <w:rFonts w:ascii="宋体" w:hAnsiTheme="minorHAnsi" w:eastAsiaTheme="minorEastAsia" w:cstheme="minorBidi"/>
          <w:kern w:val="2"/>
          <w:szCs w:val="24"/>
          <w:lang w:val="en-US" w:eastAsia="zh-CN" w:bidi="ar-SA"/>
        </w:rPr>
        <w:fldChar w:fldCharType="end"/>
      </w:r>
    </w:p>
    <w:p>
      <w:pPr>
        <w:pStyle w:val="12"/>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_Toc16626 </w:instrText>
      </w:r>
      <w:r>
        <w:rPr>
          <w:rFonts w:ascii="宋体" w:hAnsiTheme="minorHAnsi" w:eastAsiaTheme="minorEastAsia" w:cstheme="minorBidi"/>
          <w:kern w:val="2"/>
          <w:szCs w:val="24"/>
          <w:lang w:val="en-US" w:eastAsia="zh-CN" w:bidi="ar-SA"/>
        </w:rPr>
        <w:fldChar w:fldCharType="separate"/>
      </w:r>
      <w:r>
        <w:rPr>
          <w:rFonts w:hint="eastAsia" w:ascii="微软雅黑" w:hAnsi="微软雅黑" w:eastAsia="微软雅黑" w:cs="微软雅黑"/>
          <w:bCs/>
          <w:lang w:val="en-US" w:eastAsia="zh-CN"/>
        </w:rPr>
        <w:t>三、服务设置</w:t>
      </w:r>
      <w:r>
        <w:tab/>
      </w:r>
      <w:r>
        <w:fldChar w:fldCharType="begin"/>
      </w:r>
      <w:r>
        <w:instrText xml:space="preserve"> PAGEREF _Toc16626 </w:instrText>
      </w:r>
      <w:r>
        <w:fldChar w:fldCharType="separate"/>
      </w:r>
      <w:r>
        <w:t>14</w:t>
      </w:r>
      <w:r>
        <w:fldChar w:fldCharType="end"/>
      </w:r>
      <w:r>
        <w:rPr>
          <w:rFonts w:ascii="宋体" w:hAnsiTheme="minorHAnsi" w:eastAsiaTheme="minorEastAsia" w:cstheme="minorBidi"/>
          <w:kern w:val="2"/>
          <w:szCs w:val="24"/>
          <w:lang w:val="en-US" w:eastAsia="zh-CN" w:bidi="ar-SA"/>
        </w:rPr>
        <w:fldChar w:fldCharType="end"/>
      </w:r>
    </w:p>
    <w:p>
      <w:pPr>
        <w:pStyle w:val="12"/>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_Toc19084 </w:instrText>
      </w:r>
      <w:r>
        <w:rPr>
          <w:rFonts w:ascii="宋体" w:hAnsiTheme="minorHAnsi" w:eastAsiaTheme="minorEastAsia" w:cstheme="minorBidi"/>
          <w:kern w:val="2"/>
          <w:szCs w:val="24"/>
          <w:lang w:val="en-US" w:eastAsia="zh-CN" w:bidi="ar-SA"/>
        </w:rPr>
        <w:fldChar w:fldCharType="separate"/>
      </w:r>
      <w:r>
        <w:rPr>
          <w:rFonts w:hint="eastAsia" w:ascii="微软雅黑" w:hAnsi="微软雅黑" w:eastAsia="微软雅黑" w:cs="微软雅黑"/>
          <w:bCs/>
          <w:lang w:val="en-US" w:eastAsia="zh-CN"/>
        </w:rPr>
        <w:t>四、报警设置</w:t>
      </w:r>
      <w:r>
        <w:tab/>
      </w:r>
      <w:r>
        <w:fldChar w:fldCharType="begin"/>
      </w:r>
      <w:r>
        <w:instrText xml:space="preserve"> PAGEREF _Toc19084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12"/>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_Toc14602 </w:instrText>
      </w:r>
      <w:r>
        <w:rPr>
          <w:rFonts w:ascii="宋体" w:hAnsiTheme="minorHAnsi" w:eastAsiaTheme="minorEastAsia" w:cstheme="minorBidi"/>
          <w:kern w:val="2"/>
          <w:szCs w:val="24"/>
          <w:lang w:val="en-US" w:eastAsia="zh-CN" w:bidi="ar-SA"/>
        </w:rPr>
        <w:fldChar w:fldCharType="separate"/>
      </w:r>
      <w:r>
        <w:rPr>
          <w:rFonts w:hint="eastAsia" w:ascii="微软雅黑" w:hAnsi="微软雅黑" w:eastAsia="微软雅黑" w:cs="微软雅黑"/>
          <w:bCs/>
          <w:lang w:val="en-US" w:eastAsia="zh-CN"/>
        </w:rPr>
        <w:t>五、设备自检</w:t>
      </w:r>
      <w:r>
        <w:tab/>
      </w:r>
      <w:r>
        <w:fldChar w:fldCharType="begin"/>
      </w:r>
      <w:r>
        <w:instrText xml:space="preserve"> PAGEREF _Toc14602 </w:instrText>
      </w:r>
      <w:r>
        <w:fldChar w:fldCharType="separate"/>
      </w:r>
      <w:r>
        <w:t>16</w:t>
      </w:r>
      <w:r>
        <w:fldChar w:fldCharType="end"/>
      </w:r>
      <w:r>
        <w:rPr>
          <w:rFonts w:ascii="宋体" w:hAnsiTheme="minorHAnsi" w:eastAsiaTheme="minorEastAsia" w:cstheme="minorBidi"/>
          <w:kern w:val="2"/>
          <w:szCs w:val="24"/>
          <w:lang w:val="en-US" w:eastAsia="zh-CN" w:bidi="ar-SA"/>
        </w:rPr>
        <w:fldChar w:fldCharType="end"/>
      </w:r>
    </w:p>
    <w:p>
      <w:pPr>
        <w:pStyle w:val="12"/>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_Toc28317 </w:instrText>
      </w:r>
      <w:r>
        <w:rPr>
          <w:rFonts w:ascii="宋体" w:hAnsiTheme="minorHAnsi" w:eastAsiaTheme="minorEastAsia" w:cstheme="minorBidi"/>
          <w:kern w:val="2"/>
          <w:szCs w:val="24"/>
          <w:lang w:val="en-US" w:eastAsia="zh-CN" w:bidi="ar-SA"/>
        </w:rPr>
        <w:fldChar w:fldCharType="separate"/>
      </w:r>
      <w:r>
        <w:rPr>
          <w:rFonts w:hint="eastAsia" w:ascii="微软雅黑" w:hAnsi="微软雅黑" w:eastAsia="微软雅黑" w:cs="微软雅黑"/>
          <w:bCs/>
          <w:lang w:val="en-US" w:eastAsia="zh-CN"/>
        </w:rPr>
        <w:t>六、财务管理</w:t>
      </w:r>
      <w:r>
        <w:tab/>
      </w:r>
      <w:r>
        <w:fldChar w:fldCharType="begin"/>
      </w:r>
      <w:r>
        <w:instrText xml:space="preserve"> PAGEREF _Toc28317 </w:instrText>
      </w:r>
      <w:r>
        <w:fldChar w:fldCharType="separate"/>
      </w:r>
      <w:r>
        <w:t>17</w:t>
      </w:r>
      <w:r>
        <w:fldChar w:fldCharType="end"/>
      </w: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SPDS自助缴费机系统主要应用于车主准备离场时自助缴费的场景，车主输入车牌号码获取停车费用，车主可选择微信或现金支付停车费。SPDS自助缴费机系统还内嵌了MPGS的反向寻车系统，车主可在自助缴费机中获取到系统规划的从缴费机点到车辆停放点的最短寻车路线。</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下面分为</w:t>
      </w:r>
      <w:r>
        <w:rPr>
          <w:rFonts w:hint="eastAsia" w:ascii="微软雅黑" w:hAnsi="微软雅黑" w:eastAsia="微软雅黑" w:cs="微软雅黑"/>
          <w:b/>
          <w:bCs w:val="0"/>
          <w:kern w:val="2"/>
          <w:sz w:val="24"/>
          <w:szCs w:val="24"/>
          <w:lang w:val="en-US" w:eastAsia="zh-CN" w:bidi="ar-SA"/>
        </w:rPr>
        <w:t>车主操作前端和缴费机后台</w:t>
      </w:r>
      <w:r>
        <w:rPr>
          <w:rFonts w:hint="eastAsia" w:ascii="微软雅黑" w:hAnsi="微软雅黑" w:eastAsia="微软雅黑" w:cs="微软雅黑"/>
          <w:b w:val="0"/>
          <w:bCs/>
          <w:kern w:val="2"/>
          <w:sz w:val="24"/>
          <w:szCs w:val="24"/>
          <w:lang w:val="en-US" w:eastAsia="zh-CN" w:bidi="ar-SA"/>
        </w:rPr>
        <w:t>两个部分进行介绍。</w:t>
      </w:r>
    </w:p>
    <w:p>
      <w:pPr>
        <w:pStyle w:val="2"/>
        <w:ind w:left="0" w:leftChars="0" w:firstLine="360" w:firstLineChars="100"/>
        <w:rPr>
          <w:rFonts w:hint="eastAsia" w:ascii="微软雅黑" w:hAnsi="微软雅黑" w:eastAsia="微软雅黑" w:cs="微软雅黑"/>
          <w:b w:val="0"/>
          <w:bCs/>
          <w:sz w:val="36"/>
          <w:szCs w:val="36"/>
          <w:lang w:val="en-US" w:eastAsia="zh-CN"/>
        </w:rPr>
      </w:pPr>
      <w:bookmarkStart w:id="0" w:name="_Toc26209"/>
      <w:r>
        <w:rPr>
          <w:rFonts w:hint="eastAsia" w:ascii="微软雅黑" w:hAnsi="微软雅黑" w:eastAsia="微软雅黑" w:cs="微软雅黑"/>
          <w:b w:val="0"/>
          <w:bCs/>
          <w:sz w:val="36"/>
          <w:szCs w:val="36"/>
          <w:lang w:val="en-US" w:eastAsia="zh-CN"/>
        </w:rPr>
        <w:t>车主操作前端</w:t>
      </w:r>
      <w:bookmarkEnd w:id="0"/>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车主操作前端主要包含了缴费和寻车两个模块内容。</w:t>
      </w:r>
    </w:p>
    <w:p>
      <w:pPr>
        <w:pStyle w:val="3"/>
        <w:numPr>
          <w:ilvl w:val="0"/>
          <w:numId w:val="1"/>
        </w:numPr>
        <w:rPr>
          <w:rFonts w:hint="eastAsia" w:ascii="微软雅黑" w:hAnsi="微软雅黑" w:eastAsia="微软雅黑" w:cs="微软雅黑"/>
          <w:b w:val="0"/>
          <w:bCs/>
          <w:lang w:val="en-US" w:eastAsia="zh-CN"/>
        </w:rPr>
      </w:pPr>
      <w:bookmarkStart w:id="1" w:name="_Toc15252"/>
      <w:r>
        <w:rPr>
          <w:rFonts w:hint="eastAsia" w:ascii="微软雅黑" w:hAnsi="微软雅黑" w:eastAsia="微软雅黑" w:cs="微软雅黑"/>
          <w:b w:val="0"/>
          <w:bCs/>
          <w:lang w:val="en-US" w:eastAsia="zh-CN"/>
        </w:rPr>
        <w:t>缴费</w:t>
      </w:r>
      <w:bookmarkEnd w:id="1"/>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缴费机首页可以设置多张广告图片（在MPGS系统-后台管理-查询机-设置广告图片中设置），大于等于2张广告图片时将会滚动播放。用户点击屏幕即可进入缴费机页面。</w:t>
      </w:r>
    </w:p>
    <w:p>
      <w:pPr>
        <w:widowControl w:val="0"/>
        <w:numPr>
          <w:ilvl w:val="0"/>
          <w:numId w:val="0"/>
        </w:numPr>
        <w:spacing w:line="360" w:lineRule="auto"/>
        <w:jc w:val="both"/>
      </w:pPr>
      <w:r>
        <w:drawing>
          <wp:inline distT="0" distB="0" distL="114300" distR="114300">
            <wp:extent cx="6181725" cy="2849245"/>
            <wp:effectExtent l="0" t="0" r="3175" b="825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用户点击屏幕即可进入反向寻车页面，反向寻车系统支持</w:t>
      </w:r>
      <w:r>
        <w:rPr>
          <w:rFonts w:hint="eastAsia" w:ascii="微软雅黑" w:hAnsi="微软雅黑" w:eastAsia="微软雅黑" w:cs="微软雅黑"/>
          <w:b/>
          <w:bCs w:val="0"/>
          <w:kern w:val="2"/>
          <w:sz w:val="24"/>
          <w:szCs w:val="24"/>
          <w:lang w:val="en-US" w:eastAsia="zh-CN" w:bidi="ar-SA"/>
        </w:rPr>
        <w:t>车牌查询、时间查询、车位查询和无牌车查询</w:t>
      </w:r>
      <w:r>
        <w:rPr>
          <w:rFonts w:hint="eastAsia" w:ascii="微软雅黑" w:hAnsi="微软雅黑" w:eastAsia="微软雅黑" w:cs="微软雅黑"/>
          <w:b w:val="0"/>
          <w:bCs/>
          <w:kern w:val="2"/>
          <w:sz w:val="24"/>
          <w:szCs w:val="24"/>
          <w:lang w:val="en-US" w:eastAsia="zh-CN" w:bidi="ar-SA"/>
        </w:rPr>
        <w:t>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车牌查询：输入3-6位车牌号进行搜索，如车牌号为粤A12345，可输入135、345等进行查询。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0" name="图片 100" descr="查询机-寻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查询机-寻车"/>
                    <pic:cNvPicPr>
                      <a:picLocks noChangeAspect="1"/>
                    </pic:cNvPicPr>
                  </pic:nvPicPr>
                  <pic:blipFill>
                    <a:blip r:embed="rId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时间查询：选择停车的时段，如在10点至11点的时间段内停车，则选择10。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8" name="图片 98" descr="查询机-寻车-时间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查询机-寻车-时间查询"/>
                    <pic:cNvPicPr>
                      <a:picLocks noChangeAspect="1"/>
                    </pic:cNvPicPr>
                  </pic:nvPicPr>
                  <pic:blipFill>
                    <a:blip r:embed="rId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车位查询：输入停车的车位编号，如车位编号为0100，则可输入010、100等进行寻车。</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9" name="图片 99" descr="查询机-寻车-车位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查询机-寻车-车位查询"/>
                    <pic:cNvPicPr>
                      <a:picLocks noChangeAspect="1"/>
                    </pic:cNvPicPr>
                  </pic:nvPicPr>
                  <pic:blipFill>
                    <a:blip r:embed="rId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找不到车辆停车记录时将会提示“无车辆停车记录”。</w:t>
      </w:r>
    </w:p>
    <w:p>
      <w:pPr>
        <w:widowControl w:val="0"/>
        <w:numPr>
          <w:ilvl w:val="0"/>
          <w:numId w:val="0"/>
        </w:numPr>
        <w:spacing w:line="360" w:lineRule="auto"/>
        <w:jc w:val="center"/>
      </w:pPr>
      <w:r>
        <w:drawing>
          <wp:inline distT="0" distB="0" distL="114300" distR="114300">
            <wp:extent cx="6181725" cy="2849245"/>
            <wp:effectExtent l="0" t="0" r="3175" b="825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8"/>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定位到车辆信息后，将显示车辆图片、车牌号码、入场时间、停车时长、停车费用，并提供了“现金支付”和“微信支付”两个入口。</w:t>
      </w:r>
    </w:p>
    <w:p>
      <w:pPr>
        <w:widowControl w:val="0"/>
        <w:numPr>
          <w:ilvl w:val="0"/>
          <w:numId w:val="0"/>
        </w:numPr>
        <w:spacing w:line="360" w:lineRule="auto"/>
        <w:jc w:val="center"/>
      </w:pPr>
      <w:r>
        <w:drawing>
          <wp:inline distT="0" distB="0" distL="114300" distR="114300">
            <wp:extent cx="6181725" cy="2849245"/>
            <wp:effectExtent l="0" t="0" r="3175" b="825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9"/>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eastAsiaTheme="minorEastAsia"/>
          <w:lang w:val="en-US" w:eastAsia="zh-CN"/>
        </w:rPr>
      </w:pPr>
    </w:p>
    <w:p>
      <w:pPr>
        <w:widowControl w:val="0"/>
        <w:numPr>
          <w:ilvl w:val="0"/>
          <w:numId w:val="0"/>
        </w:numPr>
        <w:spacing w:line="360" w:lineRule="auto"/>
        <w:ind w:firstLine="480"/>
        <w:jc w:val="both"/>
        <w:rPr>
          <w:rFonts w:hint="eastAsia" w:eastAsiaTheme="minorEastAsia"/>
          <w:lang w:val="en-US" w:eastAsia="zh-CN"/>
        </w:rPr>
      </w:pPr>
      <w:r>
        <w:rPr>
          <w:rFonts w:hint="eastAsia" w:ascii="微软雅黑" w:hAnsi="微软雅黑" w:eastAsia="微软雅黑" w:cs="微软雅黑"/>
          <w:b w:val="0"/>
          <w:bCs/>
          <w:kern w:val="2"/>
          <w:sz w:val="24"/>
          <w:szCs w:val="24"/>
          <w:lang w:val="en-US" w:eastAsia="zh-CN" w:bidi="ar-SA"/>
        </w:rPr>
        <w:t>选择现金支付将显示停车费用、优惠金额、需交金额、投币金额、找赎金额和系统提示，并提供了扫券和退币两个入口。</w:t>
      </w:r>
    </w:p>
    <w:p>
      <w:pPr>
        <w:widowControl w:val="0"/>
        <w:numPr>
          <w:ilvl w:val="0"/>
          <w:numId w:val="0"/>
        </w:numPr>
        <w:spacing w:line="360" w:lineRule="auto"/>
        <w:jc w:val="center"/>
      </w:pPr>
      <w:r>
        <w:drawing>
          <wp:inline distT="0" distB="0" distL="114300" distR="114300">
            <wp:extent cx="6181725" cy="2849245"/>
            <wp:effectExtent l="0" t="0" r="3175" b="825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0"/>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当用户有优惠券小票时，可以点击“扫券”按钮，将弹出扫描优惠券二维码的弹窗。扫券获取优惠成功后，将显示具体优惠金额。</w:t>
      </w:r>
    </w:p>
    <w:p>
      <w:pPr>
        <w:widowControl w:val="0"/>
        <w:numPr>
          <w:ilvl w:val="0"/>
          <w:numId w:val="0"/>
        </w:numPr>
        <w:spacing w:line="360" w:lineRule="auto"/>
        <w:jc w:val="center"/>
      </w:pPr>
      <w:r>
        <w:drawing>
          <wp:inline distT="0" distB="0" distL="114300" distR="114300">
            <wp:extent cx="6181725" cy="2849245"/>
            <wp:effectExtent l="0" t="0" r="3175" b="825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1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当用户以投币进缴费机但发现现金不足以缴纳停车费（或其他已投币想退币的场景），可以点击“退币”按钮，自助缴费机将会将用户投入的硬币或纸币退出来。</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用户现金不足时可返回选择微信支付缴纳停车费，点击“微信支付”按钮，系统弹出提示“请使用微信扫码支付”，将显示停车费用、优惠金额（同样提供“扫券”入口）、需交金额和缴费二维码。</w:t>
      </w:r>
    </w:p>
    <w:p>
      <w:pPr>
        <w:widowControl w:val="0"/>
        <w:numPr>
          <w:ilvl w:val="0"/>
          <w:numId w:val="0"/>
        </w:numPr>
        <w:spacing w:line="360" w:lineRule="auto"/>
        <w:jc w:val="center"/>
      </w:pPr>
      <w:r>
        <w:drawing>
          <wp:inline distT="0" distB="0" distL="114300" distR="114300">
            <wp:extent cx="6181725" cy="2849245"/>
            <wp:effectExtent l="0" t="0" r="3175" b="825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12"/>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用户用微信扫描缴费二维码，将进入缴费页面，缴费页面展示订单编号、订单内容、支付金额、用户一点停余额等信息，点击交费，支付成功后将显示订单编号、订单内容、支付金额等信息。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14600" cy="4471670"/>
            <wp:effectExtent l="0" t="0" r="0" b="11430"/>
            <wp:docPr id="25" name="图片 25" descr="支付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支付页面"/>
                    <pic:cNvPicPr>
                      <a:picLocks noChangeAspect="1"/>
                    </pic:cNvPicPr>
                  </pic:nvPicPr>
                  <pic:blipFill>
                    <a:blip r:embed="rId13"/>
                    <a:stretch>
                      <a:fillRect/>
                    </a:stretch>
                  </pic:blipFill>
                  <pic:spPr>
                    <a:xfrm>
                      <a:off x="0" y="0"/>
                      <a:ext cx="2514600" cy="447167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517140" cy="4479290"/>
            <wp:effectExtent l="0" t="0" r="10160" b="3810"/>
            <wp:docPr id="26" name="图片 26" descr="支付成功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支付成功页面"/>
                    <pic:cNvPicPr>
                      <a:picLocks noChangeAspect="1"/>
                    </pic:cNvPicPr>
                  </pic:nvPicPr>
                  <pic:blipFill>
                    <a:blip r:embed="rId14"/>
                    <a:stretch>
                      <a:fillRect/>
                    </a:stretch>
                  </pic:blipFill>
                  <pic:spPr>
                    <a:xfrm>
                      <a:off x="0" y="0"/>
                      <a:ext cx="2517140" cy="447929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支付成功后缴费机页面将显示支付成功的提示信息，用户还可点击“打印小票”打印收费小票。</w:t>
      </w:r>
    </w:p>
    <w:p>
      <w:pPr>
        <w:widowControl w:val="0"/>
        <w:numPr>
          <w:ilvl w:val="0"/>
          <w:numId w:val="0"/>
        </w:numPr>
        <w:spacing w:line="360" w:lineRule="auto"/>
        <w:jc w:val="center"/>
      </w:pPr>
      <w:r>
        <w:drawing>
          <wp:inline distT="0" distB="0" distL="114300" distR="114300">
            <wp:extent cx="6181725" cy="2849245"/>
            <wp:effectExtent l="0" t="0" r="3175" b="825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15"/>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r>
        <w:drawing>
          <wp:inline distT="0" distB="0" distL="114300" distR="114300">
            <wp:extent cx="6181725" cy="2849245"/>
            <wp:effectExtent l="0" t="0" r="3175" b="825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1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pStyle w:val="3"/>
        <w:numPr>
          <w:ilvl w:val="0"/>
          <w:numId w:val="1"/>
        </w:numPr>
        <w:rPr>
          <w:rFonts w:hint="eastAsia" w:ascii="微软雅黑" w:hAnsi="微软雅黑" w:eastAsia="微软雅黑" w:cs="微软雅黑"/>
          <w:b w:val="0"/>
          <w:bCs/>
          <w:lang w:val="en-US" w:eastAsia="zh-CN"/>
        </w:rPr>
      </w:pPr>
      <w:bookmarkStart w:id="2" w:name="_Toc10643"/>
      <w:r>
        <w:rPr>
          <w:rFonts w:hint="eastAsia" w:ascii="微软雅黑" w:hAnsi="微软雅黑" w:eastAsia="微软雅黑" w:cs="微软雅黑"/>
          <w:b w:val="0"/>
          <w:bCs/>
          <w:lang w:val="en-US" w:eastAsia="zh-CN"/>
        </w:rPr>
        <w:t>寻车</w:t>
      </w:r>
      <w:bookmarkEnd w:id="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用户通过车牌号码/停入时间/车位编号查询到符合条件的车辆，确定车辆后，点击“路线”按钮，即可获取当前寻车机至目标车辆的最短规划路线，寻车成功。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8" name="图片 48" descr="查询机-寻车-无牌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查询机-寻车-无牌车"/>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1" name="图片 101" descr="查询机-寻车-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查询机-寻车-路线"/>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pStyle w:val="2"/>
        <w:ind w:left="0" w:leftChars="0" w:firstLine="360" w:firstLineChars="100"/>
        <w:rPr>
          <w:rFonts w:hint="eastAsia" w:ascii="微软雅黑" w:hAnsi="微软雅黑" w:eastAsia="微软雅黑" w:cs="微软雅黑"/>
          <w:b w:val="0"/>
          <w:bCs/>
          <w:sz w:val="36"/>
          <w:szCs w:val="36"/>
          <w:lang w:val="en-US" w:eastAsia="zh-CN"/>
        </w:rPr>
      </w:pPr>
      <w:bookmarkStart w:id="3" w:name="_Toc6978"/>
      <w:r>
        <w:rPr>
          <w:rFonts w:hint="eastAsia" w:ascii="微软雅黑" w:hAnsi="微软雅黑" w:eastAsia="微软雅黑" w:cs="微软雅黑"/>
          <w:b w:val="0"/>
          <w:bCs/>
          <w:sz w:val="36"/>
          <w:szCs w:val="36"/>
          <w:lang w:val="en-US" w:eastAsia="zh-CN"/>
        </w:rPr>
        <w:t>缴费机后台</w:t>
      </w:r>
      <w:bookmarkEnd w:id="3"/>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缴费机后台主要包含了基本信息、账户管理、服务设置、报警设置、设备自检和财务管理共六大模块。以下将对缴费机后台分模块功能进行介绍，方便您随时对其进行配置使用。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首先输入账号密码进行登录缴费机后台。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19"/>
                    <a:stretch>
                      <a:fillRect/>
                    </a:stretch>
                  </pic:blipFill>
                  <pic:spPr>
                    <a:xfrm>
                      <a:off x="0" y="0"/>
                      <a:ext cx="6181725" cy="2849245"/>
                    </a:xfrm>
                    <a:prstGeom prst="rect">
                      <a:avLst/>
                    </a:prstGeom>
                    <a:noFill/>
                    <a:ln w="9525">
                      <a:noFill/>
                    </a:ln>
                  </pic:spPr>
                </pic:pic>
              </a:graphicData>
            </a:graphic>
          </wp:inline>
        </w:drawing>
      </w:r>
    </w:p>
    <w:p>
      <w:pPr>
        <w:pStyle w:val="3"/>
        <w:rPr>
          <w:rFonts w:hint="eastAsia" w:ascii="微软雅黑" w:hAnsi="微软雅黑" w:eastAsia="微软雅黑" w:cs="微软雅黑"/>
          <w:b w:val="0"/>
          <w:bCs/>
          <w:lang w:val="en-US" w:eastAsia="zh-CN"/>
        </w:rPr>
      </w:pPr>
      <w:bookmarkStart w:id="4" w:name="_Toc17886"/>
      <w:r>
        <w:rPr>
          <w:rFonts w:hint="eastAsia" w:ascii="微软雅黑" w:hAnsi="微软雅黑" w:eastAsia="微软雅黑" w:cs="微软雅黑"/>
          <w:b w:val="0"/>
          <w:bCs/>
          <w:lang w:val="en-US" w:eastAsia="zh-CN"/>
        </w:rPr>
        <w:t>一、基本信息</w:t>
      </w:r>
      <w:bookmarkEnd w:id="4"/>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所示该功能模块负责对自助缴费机各组件设备的基本信息进行配置。页面顶部显示缴费机名称、缴费机型号和缴费机序列号，分别包括打印机、扫码器、投币器、退币器、收纸币器、退纸币器和交通卡等配置模块，对每个模块进行参数配置（根据实际情况选择硬件型号、填入串口）后，点击保存设置按钮可保存当前修改信息。可单独对模块进行开启/关闭操作。</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8" name="图片 28" descr="基本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基本信息"/>
                    <pic:cNvPicPr>
                      <a:picLocks noChangeAspect="1"/>
                    </pic:cNvPicPr>
                  </pic:nvPicPr>
                  <pic:blipFill>
                    <a:blip r:embed="rId20"/>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eastAsiaTheme="minorEastAsia"/>
          <w:lang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点击“通信测试”按钮可对每个硬件进行通信测试，测试结果成功将气泡提示通信成功。</w:t>
      </w:r>
    </w:p>
    <w:p>
      <w:pPr>
        <w:ind w:left="0" w:leftChars="0" w:firstLine="0" w:firstLineChars="0"/>
        <w:jc w:val="center"/>
      </w:pPr>
      <w:r>
        <w:drawing>
          <wp:inline distT="0" distB="0" distL="114300" distR="114300">
            <wp:extent cx="6181725" cy="2849245"/>
            <wp:effectExtent l="0" t="0" r="3175" b="825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2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p>
    <w:p>
      <w:pPr>
        <w:widowControl w:val="0"/>
        <w:numPr>
          <w:ilvl w:val="0"/>
          <w:numId w:val="0"/>
        </w:numPr>
        <w:spacing w:line="360" w:lineRule="auto"/>
        <w:ind w:firstLine="480" w:firstLineChars="200"/>
        <w:jc w:val="both"/>
      </w:pPr>
      <w:r>
        <w:rPr>
          <w:rFonts w:hint="eastAsia" w:ascii="微软雅黑" w:hAnsi="微软雅黑" w:eastAsia="微软雅黑" w:cs="微软雅黑"/>
          <w:b w:val="0"/>
          <w:bCs/>
          <w:kern w:val="2"/>
          <w:sz w:val="24"/>
          <w:szCs w:val="24"/>
          <w:lang w:val="en-US" w:eastAsia="zh-CN" w:bidi="ar-SA"/>
        </w:rPr>
        <w:t>测试结果失败将气泡提示通信失败。</w:t>
      </w:r>
    </w:p>
    <w:p>
      <w:pPr>
        <w:ind w:left="0" w:leftChars="0" w:firstLine="0" w:firstLineChars="0"/>
        <w:jc w:val="center"/>
        <w:rPr>
          <w:rFonts w:hint="eastAsia"/>
          <w:lang w:eastAsia="zh-CN"/>
        </w:rPr>
      </w:pPr>
      <w:r>
        <w:drawing>
          <wp:inline distT="0" distB="0" distL="114300" distR="114300">
            <wp:extent cx="6181725" cy="2849245"/>
            <wp:effectExtent l="0" t="0" r="3175" b="825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22"/>
                    <a:stretch>
                      <a:fillRect/>
                    </a:stretch>
                  </pic:blipFill>
                  <pic:spPr>
                    <a:xfrm>
                      <a:off x="0" y="0"/>
                      <a:ext cx="6181725" cy="2849245"/>
                    </a:xfrm>
                    <a:prstGeom prst="rect">
                      <a:avLst/>
                    </a:prstGeom>
                    <a:noFill/>
                    <a:ln w="9525">
                      <a:noFill/>
                    </a:ln>
                  </pic:spPr>
                </pic:pic>
              </a:graphicData>
            </a:graphic>
          </wp:inline>
        </w:drawing>
      </w:r>
    </w:p>
    <w:p>
      <w:pPr>
        <w:rPr>
          <w:rStyle w:val="16"/>
          <w:rFonts w:hint="eastAsia" w:ascii="微软雅黑" w:hAnsi="微软雅黑" w:eastAsia="微软雅黑" w:cs="微软雅黑"/>
          <w:b w:val="0"/>
          <w:bCs/>
          <w:sz w:val="36"/>
          <w:szCs w:val="36"/>
          <w:lang w:val="en-US" w:eastAsia="zh-CN"/>
        </w:rPr>
      </w:pPr>
      <w:r>
        <w:rPr>
          <w:rStyle w:val="16"/>
          <w:rFonts w:hint="eastAsia" w:ascii="微软雅黑" w:hAnsi="微软雅黑" w:eastAsia="微软雅黑" w:cs="微软雅黑"/>
          <w:b w:val="0"/>
          <w:bCs/>
          <w:sz w:val="36"/>
          <w:szCs w:val="36"/>
          <w:lang w:val="en-US" w:eastAsia="zh-CN"/>
        </w:rPr>
        <w:t xml:space="preserve">     </w:t>
      </w:r>
    </w:p>
    <w:p>
      <w:pPr>
        <w:pStyle w:val="3"/>
        <w:rPr>
          <w:rFonts w:hint="eastAsia" w:ascii="微软雅黑" w:hAnsi="微软雅黑" w:eastAsia="微软雅黑" w:cs="微软雅黑"/>
          <w:b w:val="0"/>
          <w:bCs/>
          <w:lang w:val="en-US" w:eastAsia="zh-CN"/>
        </w:rPr>
      </w:pPr>
      <w:bookmarkStart w:id="5" w:name="_Toc28414"/>
      <w:r>
        <w:rPr>
          <w:rFonts w:hint="eastAsia" w:ascii="微软雅黑" w:hAnsi="微软雅黑" w:eastAsia="微软雅黑" w:cs="微软雅黑"/>
          <w:b w:val="0"/>
          <w:bCs/>
          <w:lang w:val="en-US" w:eastAsia="zh-CN"/>
        </w:rPr>
        <w:t>二、账户管理</w:t>
      </w:r>
      <w:bookmarkEnd w:id="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如下图所示该功能模块提供对自助缴费机系统账户的密码管理功能。可对管理员账户设置密码。</w:t>
      </w:r>
    </w:p>
    <w:p>
      <w:pPr>
        <w:widowControl w:val="0"/>
        <w:numPr>
          <w:ilvl w:val="0"/>
          <w:numId w:val="0"/>
        </w:numPr>
        <w:spacing w:line="360" w:lineRule="auto"/>
        <w:jc w:val="center"/>
        <w:outlineLvl w:val="9"/>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1" name="图片 31" descr="账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账户管理"/>
                    <pic:cNvPicPr>
                      <a:picLocks noChangeAspect="1"/>
                    </pic:cNvPicPr>
                  </pic:nvPicPr>
                  <pic:blipFill>
                    <a:blip r:embed="rId2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9"/>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w:t>
      </w:r>
      <w:r>
        <w:rPr>
          <w:rFonts w:hint="eastAsia" w:ascii="微软雅黑" w:hAnsi="微软雅黑" w:eastAsia="微软雅黑" w:cs="微软雅黑"/>
          <w:b/>
          <w:bCs/>
          <w:lang w:val="en-US" w:eastAsia="zh-CN"/>
        </w:rPr>
        <w:t>重设密码</w:t>
      </w:r>
      <w:r>
        <w:rPr>
          <w:rFonts w:hint="eastAsia" w:ascii="微软雅黑" w:hAnsi="微软雅黑" w:eastAsia="微软雅黑" w:cs="微软雅黑"/>
          <w:lang w:val="en-US" w:eastAsia="zh-CN"/>
        </w:rPr>
        <w:t>按钮，面板显示如下图界面，输入相关密码信息后点击保存设置可修改原有账户密码。</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3390900" cy="2324100"/>
            <wp:effectExtent l="0" t="0" r="0" b="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24"/>
                    <a:stretch>
                      <a:fillRect/>
                    </a:stretch>
                  </pic:blipFill>
                  <pic:spPr>
                    <a:xfrm>
                      <a:off x="0" y="0"/>
                      <a:ext cx="3390900" cy="2324100"/>
                    </a:xfrm>
                    <a:prstGeom prst="rect">
                      <a:avLst/>
                    </a:prstGeom>
                    <a:noFill/>
                    <a:ln w="9525">
                      <a:noFill/>
                    </a:ln>
                  </pic:spPr>
                </pic:pic>
              </a:graphicData>
            </a:graphic>
          </wp:inline>
        </w:drawing>
      </w:r>
    </w:p>
    <w:p>
      <w:pPr>
        <w:widowControl w:val="0"/>
        <w:numPr>
          <w:ilvl w:val="0"/>
          <w:numId w:val="0"/>
        </w:numPr>
        <w:spacing w:line="360" w:lineRule="auto"/>
        <w:jc w:val="both"/>
        <w:outlineLvl w:val="9"/>
        <w:rPr>
          <w:rFonts w:hint="eastAsia"/>
          <w:lang w:val="en-US" w:eastAsia="zh-CN"/>
        </w:rPr>
      </w:pPr>
    </w:p>
    <w:p>
      <w:pPr>
        <w:pStyle w:val="3"/>
        <w:rPr>
          <w:rFonts w:hint="eastAsia" w:ascii="微软雅黑" w:hAnsi="微软雅黑" w:eastAsia="微软雅黑" w:cs="微软雅黑"/>
          <w:b w:val="0"/>
          <w:bCs/>
          <w:lang w:val="en-US" w:eastAsia="zh-CN"/>
        </w:rPr>
      </w:pPr>
      <w:bookmarkStart w:id="6" w:name="_Toc16626"/>
      <w:r>
        <w:rPr>
          <w:rFonts w:hint="eastAsia" w:ascii="微软雅黑" w:hAnsi="微软雅黑" w:eastAsia="微软雅黑" w:cs="微软雅黑"/>
          <w:b w:val="0"/>
          <w:bCs/>
          <w:lang w:val="en-US" w:eastAsia="zh-CN"/>
        </w:rPr>
        <w:t>三、服务设置</w:t>
      </w:r>
      <w:bookmarkEnd w:id="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如下图所示该功能模块提供对自助缴费机连接的后台服务器相关信息进行配置。缴费服务器负责计费结算业务的处理，反向寻车服务器负责支持车主反向寻车的业务。</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缴费服务器填入服务器IP和服务器端口即可配置。反向寻车服务器选择实际的寻车服务器、填入寻车查询机ID、服务器IP、服务器端口即可配置。</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3" name="图片 33" descr="服务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服务设置"/>
                    <pic:cNvPicPr>
                      <a:picLocks noChangeAspect="1"/>
                    </pic:cNvPicPr>
                  </pic:nvPicPr>
                  <pic:blipFill>
                    <a:blip r:embed="rId2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9"/>
        <w:rPr>
          <w:rFonts w:hint="eastAsia"/>
          <w:lang w:val="en-US" w:eastAsia="zh-CN"/>
        </w:rPr>
      </w:pPr>
    </w:p>
    <w:p>
      <w:pPr>
        <w:pStyle w:val="3"/>
        <w:rPr>
          <w:rFonts w:hint="eastAsia" w:ascii="微软雅黑" w:hAnsi="微软雅黑" w:eastAsia="微软雅黑" w:cs="微软雅黑"/>
          <w:b w:val="0"/>
          <w:bCs/>
          <w:lang w:val="en-US" w:eastAsia="zh-CN"/>
        </w:rPr>
      </w:pPr>
      <w:bookmarkStart w:id="7" w:name="_Toc19084"/>
      <w:r>
        <w:rPr>
          <w:rFonts w:hint="eastAsia" w:ascii="微软雅黑" w:hAnsi="微软雅黑" w:eastAsia="微软雅黑" w:cs="微软雅黑"/>
          <w:b w:val="0"/>
          <w:bCs/>
          <w:lang w:val="en-US" w:eastAsia="zh-CN"/>
        </w:rPr>
        <w:t>四、报警设置</w:t>
      </w:r>
      <w:bookmarkEnd w:id="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如下图所示该功能模块提供对自助缴费机状态的监控告警功能，分别对硬币/纸币设置阈值控制后，一旦硬币/纸币数量低于或高于阈值则系统将告警。</w:t>
      </w:r>
    </w:p>
    <w:p>
      <w:pPr>
        <w:widowControl w:val="0"/>
        <w:numPr>
          <w:ilvl w:val="0"/>
          <w:numId w:val="0"/>
        </w:numPr>
        <w:spacing w:line="360" w:lineRule="auto"/>
        <w:jc w:val="center"/>
        <w:outlineLvl w:val="9"/>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4" name="图片 34" descr="报警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报警设置"/>
                    <pic:cNvPicPr>
                      <a:picLocks noChangeAspect="1"/>
                    </pic:cNvPicPr>
                  </pic:nvPicPr>
                  <pic:blipFill>
                    <a:blip r:embed="rId2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20" w:firstLineChars="0"/>
        <w:jc w:val="both"/>
        <w:outlineLvl w:val="9"/>
        <w:rPr>
          <w:rFonts w:hint="eastAsia"/>
          <w:lang w:val="en-US" w:eastAsia="zh-CN"/>
        </w:rPr>
      </w:pPr>
    </w:p>
    <w:p>
      <w:pPr>
        <w:pStyle w:val="3"/>
        <w:rPr>
          <w:rFonts w:hint="eastAsia" w:ascii="微软雅黑" w:hAnsi="微软雅黑" w:eastAsia="微软雅黑" w:cs="微软雅黑"/>
          <w:b w:val="0"/>
          <w:bCs/>
          <w:lang w:val="en-US" w:eastAsia="zh-CN"/>
        </w:rPr>
      </w:pPr>
      <w:bookmarkStart w:id="8" w:name="_Toc14602"/>
      <w:r>
        <w:rPr>
          <w:rFonts w:hint="eastAsia" w:ascii="微软雅黑" w:hAnsi="微软雅黑" w:eastAsia="微软雅黑" w:cs="微软雅黑"/>
          <w:b w:val="0"/>
          <w:bCs/>
          <w:lang w:val="en-US" w:eastAsia="zh-CN"/>
        </w:rPr>
        <w:t>五、设备自检</w:t>
      </w:r>
      <w:bookmarkEnd w:id="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如下图所示该功能模块提供对自助缴费机各部件状态的一键手动检测功能。</w:t>
      </w:r>
    </w:p>
    <w:p>
      <w:pPr>
        <w:widowControl w:val="0"/>
        <w:numPr>
          <w:ilvl w:val="0"/>
          <w:numId w:val="0"/>
        </w:numPr>
        <w:spacing w:line="360" w:lineRule="auto"/>
        <w:jc w:val="center"/>
        <w:outlineLvl w:val="9"/>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5" name="图片 35" descr="设备自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设备自检"/>
                    <pic:cNvPicPr>
                      <a:picLocks noChangeAspect="1"/>
                    </pic:cNvPicPr>
                  </pic:nvPicPr>
                  <pic:blipFill>
                    <a:blip r:embed="rId2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9"/>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点击启动自检则系统自动对列表各项进行状态检查并反馈结果，如下图所示。</w:t>
      </w:r>
    </w:p>
    <w:p>
      <w:pPr>
        <w:widowControl w:val="0"/>
        <w:numPr>
          <w:ilvl w:val="0"/>
          <w:numId w:val="0"/>
        </w:numPr>
        <w:spacing w:line="360" w:lineRule="auto"/>
        <w:jc w:val="center"/>
        <w:outlineLvl w:val="9"/>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6" name="图片 36" descr="设备自检-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设备自检-结果"/>
                    <pic:cNvPicPr>
                      <a:picLocks noChangeAspect="1"/>
                    </pic:cNvPicPr>
                  </pic:nvPicPr>
                  <pic:blipFill>
                    <a:blip r:embed="rId2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left="420" w:leftChars="0" w:firstLine="420" w:firstLineChars="0"/>
        <w:jc w:val="center"/>
        <w:outlineLvl w:val="9"/>
        <w:rPr>
          <w:rFonts w:hint="eastAsia"/>
          <w:lang w:val="en-US" w:eastAsia="zh-CN"/>
        </w:rPr>
      </w:pPr>
    </w:p>
    <w:p>
      <w:pPr>
        <w:pStyle w:val="3"/>
        <w:rPr>
          <w:rFonts w:hint="eastAsia" w:ascii="微软雅黑" w:hAnsi="微软雅黑" w:eastAsia="微软雅黑" w:cs="微软雅黑"/>
          <w:b w:val="0"/>
          <w:bCs/>
          <w:lang w:val="en-US" w:eastAsia="zh-CN"/>
        </w:rPr>
      </w:pPr>
      <w:bookmarkStart w:id="9" w:name="_Toc28317"/>
      <w:r>
        <w:rPr>
          <w:rFonts w:hint="eastAsia" w:ascii="微软雅黑" w:hAnsi="微软雅黑" w:eastAsia="微软雅黑" w:cs="微软雅黑"/>
          <w:b w:val="0"/>
          <w:bCs/>
          <w:lang w:val="en-US" w:eastAsia="zh-CN"/>
        </w:rPr>
        <w:t>六、财务管理</w:t>
      </w:r>
      <w:bookmarkEnd w:id="9"/>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如下图所示财务管理模块包括财务记录和财务操作流水两个部分的内容。</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财务记录负责财务数据的记录盘点、取币、清盘、补币的配置操作。</w:t>
      </w:r>
    </w:p>
    <w:p>
      <w:pPr>
        <w:ind w:left="0" w:leftChars="0" w:firstLine="0" w:firstLineChars="0"/>
        <w:jc w:val="center"/>
        <w:outlineLvl w:val="9"/>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 name="图片 1" descr="财务管理-财务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财务管理-财务记录"/>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ind w:left="0" w:leftChars="0" w:firstLine="0" w:firstLineChars="0"/>
        <w:jc w:val="center"/>
        <w:outlineLvl w:val="9"/>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点击“清盘”将弹出清盘确认弹窗，确认操作后将清空硬币内所有硬币，同步财务记录并生成财务操作流水。</w:t>
      </w:r>
    </w:p>
    <w:p>
      <w:pPr>
        <w:widowControl w:val="0"/>
        <w:numPr>
          <w:ilvl w:val="0"/>
          <w:numId w:val="0"/>
        </w:numPr>
        <w:spacing w:line="360" w:lineRule="auto"/>
        <w:jc w:val="center"/>
        <w:outlineLvl w:val="9"/>
        <w:rPr>
          <w:rFonts w:hint="eastAsia" w:ascii="微软雅黑" w:hAnsi="微软雅黑" w:eastAsia="微软雅黑" w:cs="微软雅黑"/>
          <w:b w:val="0"/>
          <w:bCs/>
          <w:kern w:val="2"/>
          <w:sz w:val="24"/>
          <w:szCs w:val="24"/>
          <w:lang w:val="en-US" w:eastAsia="zh-CN" w:bidi="ar-SA"/>
        </w:rPr>
      </w:pPr>
      <w:r>
        <w:drawing>
          <wp:inline distT="0" distB="0" distL="114300" distR="114300">
            <wp:extent cx="3225800" cy="1365250"/>
            <wp:effectExtent l="0" t="0" r="0"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0"/>
                    <a:stretch>
                      <a:fillRect/>
                    </a:stretch>
                  </pic:blipFill>
                  <pic:spPr>
                    <a:xfrm>
                      <a:off x="0" y="0"/>
                      <a:ext cx="3225800" cy="1365250"/>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点击“取出”将弹出取出确认弹窗，用户填入需取出的数量并确认操作后确认操作后将执行取出操作，同步财务记录并生成财务操作流水。</w:t>
      </w:r>
    </w:p>
    <w:p>
      <w:pPr>
        <w:ind w:left="0" w:leftChars="0" w:firstLine="0" w:firstLineChars="0"/>
        <w:jc w:val="center"/>
      </w:pPr>
      <w:r>
        <w:drawing>
          <wp:inline distT="0" distB="0" distL="114300" distR="114300">
            <wp:extent cx="4349750" cy="1905000"/>
            <wp:effectExtent l="0" t="0" r="635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1"/>
                    <a:stretch>
                      <a:fillRect/>
                    </a:stretch>
                  </pic:blipFill>
                  <pic:spPr>
                    <a:xfrm>
                      <a:off x="0" y="0"/>
                      <a:ext cx="4349750" cy="1905000"/>
                    </a:xfrm>
                    <a:prstGeom prst="rect">
                      <a:avLst/>
                    </a:prstGeom>
                    <a:noFill/>
                    <a:ln w="9525">
                      <a:noFill/>
                    </a:ln>
                  </pic:spPr>
                </pic:pic>
              </a:graphicData>
            </a:graphic>
          </wp:inline>
        </w:drawing>
      </w:r>
    </w:p>
    <w:p>
      <w:pPr>
        <w:ind w:left="0" w:leftChars="0" w:firstLine="0" w:firstLineChars="0"/>
        <w:jc w:val="center"/>
      </w:pPr>
    </w:p>
    <w:p>
      <w:r>
        <w:rPr>
          <w:rFonts w:hint="eastAsia" w:ascii="微软雅黑" w:hAnsi="微软雅黑" w:eastAsia="微软雅黑" w:cs="微软雅黑"/>
          <w:lang w:val="en-US" w:eastAsia="zh-CN"/>
        </w:rPr>
        <w:t>点击“盘点”将弹出盘点弹窗，显示机器盘点数量和人工盘点数量输入框。用户填写盘点数量后以人工盘点数量为准；如果用户未填写盘点数量，默认机器盘点的数量为人工盘点后的数量，同步财务记录并生成财务操作流水。</w:t>
      </w:r>
    </w:p>
    <w:p>
      <w:pPr>
        <w:ind w:left="0" w:leftChars="0" w:firstLine="0" w:firstLineChars="0"/>
        <w:jc w:val="center"/>
      </w:pPr>
      <w:r>
        <w:drawing>
          <wp:inline distT="0" distB="0" distL="114300" distR="114300">
            <wp:extent cx="4337050" cy="3771900"/>
            <wp:effectExtent l="0" t="0" r="635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2"/>
                    <a:stretch>
                      <a:fillRect/>
                    </a:stretch>
                  </pic:blipFill>
                  <pic:spPr>
                    <a:xfrm>
                      <a:off x="0" y="0"/>
                      <a:ext cx="4337050" cy="3771900"/>
                    </a:xfrm>
                    <a:prstGeom prst="rect">
                      <a:avLst/>
                    </a:prstGeom>
                    <a:noFill/>
                    <a:ln w="9525">
                      <a:noFill/>
                    </a:ln>
                  </pic:spPr>
                </pic:pic>
              </a:graphicData>
            </a:graphic>
          </wp:inline>
        </w:drawing>
      </w:r>
    </w:p>
    <w:p>
      <w:pPr>
        <w:ind w:left="0" w:leftChars="0" w:firstLine="0" w:firstLineChars="0"/>
        <w:jc w:val="center"/>
      </w:pPr>
    </w:p>
    <w:p>
      <w:r>
        <w:rPr>
          <w:rFonts w:hint="eastAsia" w:ascii="微软雅黑" w:hAnsi="微软雅黑" w:eastAsia="微软雅黑" w:cs="微软雅黑"/>
          <w:lang w:val="en-US" w:eastAsia="zh-CN"/>
        </w:rPr>
        <w:t>点击“补币”将弹出补币弹窗，用户填写补币数量后确认操作，同步财务记录并生成财务操作流水。</w:t>
      </w:r>
    </w:p>
    <w:p>
      <w:pPr>
        <w:ind w:left="0" w:leftChars="0" w:firstLine="0" w:firstLineChars="0"/>
        <w:jc w:val="center"/>
      </w:pPr>
      <w:r>
        <w:drawing>
          <wp:inline distT="0" distB="0" distL="114300" distR="114300">
            <wp:extent cx="4362450" cy="4184650"/>
            <wp:effectExtent l="0" t="0" r="6350" b="635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3"/>
                    <a:stretch>
                      <a:fillRect/>
                    </a:stretch>
                  </pic:blipFill>
                  <pic:spPr>
                    <a:xfrm>
                      <a:off x="0" y="0"/>
                      <a:ext cx="4362450" cy="4184650"/>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财务操作流水记录负责对财务数据的操作流水，主要显示操作类型、操作前硬币数（枚）、操作后硬币数（枚）、操作前收纸币器（元）、操作后收纸币器（元）、操作前退纸币器（元）、操作后退纸币器（元）、操作前回收箱（元）、操作后回收箱（元）、操作时间。</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 name="图片 7" descr="财务管理-财务操作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财务管理-财务操作流水"/>
                    <pic:cNvPicPr>
                      <a:picLocks noChangeAspect="1"/>
                    </pic:cNvPicPr>
                  </pic:nvPicPr>
                  <pic:blipFill>
                    <a:blip r:embed="rId34"/>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点击“详情”按钮可查看每条操作流水的详细信息。</w:t>
      </w:r>
    </w:p>
    <w:p>
      <w:pPr>
        <w:ind w:left="0" w:leftChars="0" w:firstLine="0" w:firstLineChars="0"/>
        <w:jc w:val="center"/>
        <w:rPr>
          <w:rFonts w:hint="eastAsia"/>
          <w:lang w:val="en-US" w:eastAsia="zh-CN"/>
        </w:rPr>
      </w:pPr>
      <w:r>
        <w:rPr>
          <w:rFonts w:hint="eastAsia" w:ascii="微软雅黑" w:hAnsi="微软雅黑" w:eastAsia="微软雅黑" w:cs="微软雅黑"/>
          <w:lang w:val="en-US" w:eastAsia="zh-CN"/>
        </w:rPr>
        <w:drawing>
          <wp:inline distT="0" distB="0" distL="114300" distR="114300">
            <wp:extent cx="5156200" cy="2159000"/>
            <wp:effectExtent l="0" t="0" r="0" b="0"/>
            <wp:docPr id="8" name="图片 8" descr="财务管理-财务操作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财务管理-财务操作流水-详情"/>
                    <pic:cNvPicPr>
                      <a:picLocks noChangeAspect="1"/>
                    </pic:cNvPicPr>
                  </pic:nvPicPr>
                  <pic:blipFill>
                    <a:blip r:embed="rId35"/>
                    <a:stretch>
                      <a:fillRect/>
                    </a:stretch>
                  </pic:blipFill>
                  <pic:spPr>
                    <a:xfrm>
                      <a:off x="0" y="0"/>
                      <a:ext cx="5156200" cy="2159000"/>
                    </a:xfrm>
                    <a:prstGeom prst="rect">
                      <a:avLst/>
                    </a:prstGeom>
                  </pic:spPr>
                </pic:pic>
              </a:graphicData>
            </a:graphic>
          </wp:inline>
        </w:drawing>
      </w:r>
      <w:bookmarkStart w:id="10" w:name="_GoBack"/>
      <w:bookmarkEnd w:id="10"/>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C8B606"/>
    <w:multiLevelType w:val="singleLevel"/>
    <w:tmpl w:val="18C8B606"/>
    <w:lvl w:ilvl="0" w:tentative="0">
      <w:start w:val="1"/>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4E872E5"/>
    <w:rsid w:val="017D786E"/>
    <w:rsid w:val="045B69E5"/>
    <w:rsid w:val="05282E9A"/>
    <w:rsid w:val="06765CEE"/>
    <w:rsid w:val="097175B8"/>
    <w:rsid w:val="0B1F595B"/>
    <w:rsid w:val="0C8E65B3"/>
    <w:rsid w:val="0CD85977"/>
    <w:rsid w:val="0DFB023F"/>
    <w:rsid w:val="136173CD"/>
    <w:rsid w:val="15F64584"/>
    <w:rsid w:val="214367AD"/>
    <w:rsid w:val="24E872E5"/>
    <w:rsid w:val="264351E7"/>
    <w:rsid w:val="2945379D"/>
    <w:rsid w:val="3A813D7B"/>
    <w:rsid w:val="3AD14E74"/>
    <w:rsid w:val="3CD37826"/>
    <w:rsid w:val="3F08305C"/>
    <w:rsid w:val="42E91B7E"/>
    <w:rsid w:val="4D5346BA"/>
    <w:rsid w:val="501C104B"/>
    <w:rsid w:val="531715B7"/>
    <w:rsid w:val="54F555BE"/>
    <w:rsid w:val="561F53A1"/>
    <w:rsid w:val="574D5563"/>
    <w:rsid w:val="57AF6BCC"/>
    <w:rsid w:val="58786725"/>
    <w:rsid w:val="58B0591A"/>
    <w:rsid w:val="592468F4"/>
    <w:rsid w:val="5A244DFE"/>
    <w:rsid w:val="5B9355CD"/>
    <w:rsid w:val="5BFA5199"/>
    <w:rsid w:val="5D2E3C65"/>
    <w:rsid w:val="5EA3589C"/>
    <w:rsid w:val="5EC01BF1"/>
    <w:rsid w:val="61BA7168"/>
    <w:rsid w:val="61CA5691"/>
    <w:rsid w:val="63CD4C4C"/>
    <w:rsid w:val="654A154B"/>
    <w:rsid w:val="6B7F0527"/>
    <w:rsid w:val="6C600487"/>
    <w:rsid w:val="6C9D3764"/>
    <w:rsid w:val="705E4892"/>
    <w:rsid w:val="71FB3645"/>
    <w:rsid w:val="739C368C"/>
    <w:rsid w:val="73AF34FA"/>
    <w:rsid w:val="7CCB7C4A"/>
    <w:rsid w:val="7D5F4CAC"/>
    <w:rsid w:val="7E66730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1"/>
    <w:basedOn w:val="1"/>
    <w:next w:val="1"/>
    <w:link w:val="16"/>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14">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4">
    <w:name w:val="toc 7"/>
    <w:basedOn w:val="1"/>
    <w:next w:val="1"/>
    <w:qFormat/>
    <w:uiPriority w:val="0"/>
    <w:pPr>
      <w:ind w:left="2520" w:leftChars="1200"/>
    </w:pPr>
  </w:style>
  <w:style w:type="paragraph" w:styleId="5">
    <w:name w:val="Normal Indent"/>
    <w:basedOn w:val="1"/>
    <w:qFormat/>
    <w:uiPriority w:val="0"/>
    <w:pPr>
      <w:ind w:firstLine="420"/>
    </w:pPr>
  </w:style>
  <w:style w:type="paragraph" w:styleId="6">
    <w:name w:val="toc 5"/>
    <w:basedOn w:val="1"/>
    <w:next w:val="1"/>
    <w:qFormat/>
    <w:uiPriority w:val="0"/>
    <w:pPr>
      <w:ind w:left="1680" w:leftChars="800"/>
    </w:pPr>
  </w:style>
  <w:style w:type="paragraph" w:styleId="7">
    <w:name w:val="toc 3"/>
    <w:basedOn w:val="1"/>
    <w:next w:val="1"/>
    <w:qFormat/>
    <w:uiPriority w:val="0"/>
    <w:pPr>
      <w:ind w:left="840" w:leftChars="400"/>
    </w:pPr>
  </w:style>
  <w:style w:type="paragraph" w:styleId="8">
    <w:name w:val="toc 8"/>
    <w:basedOn w:val="1"/>
    <w:next w:val="1"/>
    <w:qFormat/>
    <w:uiPriority w:val="0"/>
    <w:pPr>
      <w:ind w:left="2940" w:leftChars="1400"/>
    </w:pPr>
  </w:style>
  <w:style w:type="paragraph" w:styleId="9">
    <w:name w:val="toc 1"/>
    <w:basedOn w:val="1"/>
    <w:next w:val="1"/>
    <w:qFormat/>
    <w:uiPriority w:val="0"/>
  </w:style>
  <w:style w:type="paragraph" w:styleId="10">
    <w:name w:val="toc 4"/>
    <w:basedOn w:val="1"/>
    <w:next w:val="1"/>
    <w:qFormat/>
    <w:uiPriority w:val="0"/>
    <w:pPr>
      <w:ind w:left="1260" w:leftChars="600"/>
    </w:pPr>
  </w:style>
  <w:style w:type="paragraph" w:styleId="11">
    <w:name w:val="toc 6"/>
    <w:basedOn w:val="1"/>
    <w:next w:val="1"/>
    <w:qFormat/>
    <w:uiPriority w:val="0"/>
    <w:pPr>
      <w:ind w:left="2100" w:leftChars="1000"/>
    </w:pPr>
  </w:style>
  <w:style w:type="paragraph" w:styleId="12">
    <w:name w:val="toc 2"/>
    <w:basedOn w:val="1"/>
    <w:next w:val="1"/>
    <w:qFormat/>
    <w:uiPriority w:val="0"/>
    <w:pPr>
      <w:ind w:left="420" w:leftChars="200"/>
    </w:pPr>
  </w:style>
  <w:style w:type="paragraph" w:styleId="13">
    <w:name w:val="toc 9"/>
    <w:basedOn w:val="1"/>
    <w:next w:val="1"/>
    <w:qFormat/>
    <w:uiPriority w:val="0"/>
    <w:pPr>
      <w:ind w:left="3360" w:leftChars="1600"/>
    </w:pPr>
  </w:style>
  <w:style w:type="character" w:customStyle="1" w:styleId="16">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2017-07-20T07:24:00Z</dcterms:created>
  <dc:creator>admin</dc:creator>
  <cp:lastModifiedBy>北北</cp:lastModifiedBy>
  <dcterms:modified xsi:type="dcterms:W3CDTF">2018-04-13T04:04:47Z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